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243350"/>
          <w:sz w:val="44"/>
          <w:szCs w:val="44"/>
        </w:rPr>
        <w:t xml:space="preserve">CerebrumX NeuroSuite</w:t>
      </w:r>
    </w:p>
    <w:p>
      <w:pPr>
        <w:spacing w:after="300"/>
      </w:pPr>
      <w:r>
        <w:rPr>
          <w:i/>
          <w:iCs/>
          <w:color w:val="0F9488"/>
          <w:sz w:val="26"/>
          <w:szCs w:val="26"/>
        </w:rPr>
        <w:t xml:space="preserve">EEG Oturum Analiz Raporu</w:t>
      </w:r>
    </w:p>
    <w:p>
      <w:pPr>
        <w:pStyle w:val="Heading2"/>
        <w:spacing w:after="120" w:before="200"/>
      </w:pPr>
      <w:r>
        <w:rPr>
          <w:b/>
          <w:bCs/>
          <w:color w:val="243350"/>
          <w:sz w:val="24"/>
          <w:szCs w:val="24"/>
        </w:rPr>
        <w:t xml:space="preserve">Yöntem</w:t>
      </w:r>
    </w:p>
    <w:p>
      <w:pPr>
        <w:spacing w:after="100"/>
      </w:pPr>
      <w:r>
        <w:rPr>
          <w:sz w:val="21"/>
          <w:szCs w:val="21"/>
        </w:rPr>
        <w:t xml:space="preserve">Veriler, uluslararası 10-20 elektrot yerleşim sistemine göre tasarlanmış 32 kanallı Emotiv Flex EEG cihazı ile toplanmıştır. Cihaz, Emotiv Cortex API aracılığıyla bant gücü (Theta, Alfa, Beta, Gama), kontak kalitesi ve yüz ifadesi (göz kırpma) verilerini gerçek zamanlı olarak sağlamaktadır. Bant sınırları Delta (0.5-3.9 Hz), Teta (4-7.9 Hz), Alfa (8-12.9 Hz), Beta (13-30 Hz) ve Gama (30-100 Hz) olarak tanımlanmıştır (Çiçek, t.y.).</w:t>
      </w:r>
    </w:p>
    <w:p>
      <w:pPr>
        <w:spacing w:after="100"/>
      </w:pPr>
      <w:r>
        <w:rPr>
          <w:sz w:val="21"/>
          <w:szCs w:val="21"/>
        </w:rPr>
        <w:t xml:space="preserve">Bölgesel aktivite tespiti için her elektrotun sinyali 3 saniyelik kayan ortalama ile yumuşatılmış, kendi oturum-içi ortalama aktivitesi ve standart sapması hesaplanmış; ortalamanın bir standart sapma üzerine çıktığı ve en az 2 saniye süren zaman aralıkları "aktivite penceresi" olarak işaretlenmiştir (tek saniyelik gürültü tepeleri elenmiştir). Göz kırpma anlarının ±1 saniye çevresi ve kontak kalitesi düşük zaman noktaları bu tespitten ve bant/FAI ortalamalarından çıkarılmıştır.</w:t>
      </w:r>
    </w:p>
    <w:p>
      <w:pPr>
        <w:spacing w:after="100"/>
      </w:pPr>
      <w:r>
        <w:rPr>
          <w:i/>
          <w:iCs/>
          <w:sz w:val="21"/>
          <w:szCs w:val="21"/>
        </w:rPr>
        <w:t xml:space="preserve">Elektrotların bilişsel/duygusal işlevlere dair etiketlenmesinde ve bölgesel yorumlamada Bağçı ve Bostan (2022) tarafından geliştirilen çerçeve esas alınmıştır (bkz. Kaynakça).</w:t>
      </w:r>
    </w:p>
    <w:p>
      <w:pPr>
        <w:spacing w:after="200"/>
      </w:pPr>
      <w:r>
        <w:rPr>
          <w:i/>
          <w:iCs/>
          <w:sz w:val="21"/>
          <w:szCs w:val="21"/>
        </w:rPr>
        <w:t xml:space="preserve">Bu rapor tekil bir oturumu yansıtır; deneysel EEG çalışmalarında grup düzeyinde güvenilir sonuca ulaşmak için analize dahil edilen her grubun en az 30 katılımcıdan oluşması, yaklaşık %1 hata payıyla sonuca varılmasını sağlamaktadır (Sands, 2009). Bu nedenle bulgular, tek başına değil, aynı gruptan yeterli sayıda katılımcının kayıtlarıyla birlikte (bkz. Tüm Denekler Özet Raporu) değerlendirilmelidir.</w:t>
      </w:r>
    </w:p>
    <w:p>
      <w:pPr>
        <w:pStyle w:val="Heading2"/>
        <w:spacing w:after="120" w:before="200"/>
      </w:pPr>
      <w:r>
        <w:rPr>
          <w:b/>
          <w:bCs/>
          <w:color w:val="243350"/>
          <w:sz w:val="24"/>
          <w:szCs w:val="24"/>
        </w:rPr>
        <w:t xml:space="preserve">Oturum Bilgisi</w:t>
      </w:r>
    </w:p>
    <w:p>
      <w:r>
        <w:rPr>
          <w:sz w:val="21"/>
          <w:szCs w:val="21"/>
        </w:rPr>
        <w:t xml:space="preserve">Denek: Denek-Eb</w:t>
      </w:r>
    </w:p>
    <w:p>
      <w:r>
        <w:rPr>
          <w:sz w:val="21"/>
          <w:szCs w:val="21"/>
        </w:rPr>
        <w:t xml:space="preserve">Etiketler: Yaş: 39, Cinsiyet: Kadın</w:t>
      </w:r>
    </w:p>
    <w:p>
      <w:r>
        <w:rPr>
          <w:sz w:val="21"/>
          <w:szCs w:val="21"/>
        </w:rPr>
        <w:t xml:space="preserve">Tarih: 27.07.2026 00:38:26</w:t>
      </w:r>
    </w:p>
    <w:p>
      <w:r>
        <w:rPr>
          <w:sz w:val="21"/>
          <w:szCs w:val="21"/>
        </w:rPr>
        <w:t xml:space="preserve">Cihaz: Flex · Süre: 00:55 · Veri kaynağı: Gerçek</w:t>
      </w:r>
    </w:p>
    <w:p>
      <w:pPr>
        <w:spacing w:after="200"/>
      </w:pPr>
      <w:r>
        <w:rPr>
          <w:b/>
          <w:bCs/>
          <w:color w:val="0F9488"/>
          <w:sz w:val="21"/>
          <w:szCs w:val="21"/>
        </w:rPr>
        <w:t xml:space="preserve">En yoğun aktivite: FC1 (Fronto-santral motor hazırlığı) bölgesi, 00:23 saniyede · Baskın bant: Beta</w:t>
      </w:r>
    </w:p>
    <w:p>
      <w:pPr>
        <w:pStyle w:val="Heading2"/>
        <w:spacing w:after="120" w:before="200"/>
      </w:pPr>
      <w:r>
        <w:rPr>
          <w:b/>
          <w:bCs/>
          <w:color w:val="243350"/>
          <w:sz w:val="24"/>
          <w:szCs w:val="24"/>
        </w:rPr>
        <w:t xml:space="preserve">Bant Gücü Dağılımı (Göreli, 0-100)</w:t>
      </w: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3000"/>
            <w:shd w:fill="243350" w:val="clear"/>
            <w:tcMar>
              <w:top w:type="dxa" w:w="70"/>
              <w:left w:type="dxa" w:w="100"/>
              <w:bottom w:type="dxa" w:w="70"/>
              <w:right w:type="dxa" w:w="100"/>
            </w:tcMar>
          </w:tcPr>
          <w:p>
            <w:r>
              <w:rPr>
                <w:b/>
                <w:bCs/>
                <w:color w:val="FFFFFF"/>
                <w:sz w:val="19"/>
                <w:szCs w:val="19"/>
              </w:rPr>
              <w:t xml:space="preserve">Bant</w:t>
            </w:r>
          </w:p>
        </w:tc>
        <w:tc>
          <w:tcPr>
            <w:tcW w:type="dxa" w:w="3000"/>
            <w:shd w:fill="243350" w:val="clear"/>
            <w:tcMar>
              <w:top w:type="dxa" w:w="70"/>
              <w:left w:type="dxa" w:w="100"/>
              <w:bottom w:type="dxa" w:w="70"/>
              <w:right w:type="dxa" w:w="100"/>
            </w:tcMar>
          </w:tcPr>
          <w:p>
            <w:r>
              <w:rPr>
                <w:b/>
                <w:bCs/>
                <w:color w:val="FFFFFF"/>
                <w:sz w:val="19"/>
                <w:szCs w:val="19"/>
              </w:rPr>
              <w:t xml:space="preserve">Değer</w:t>
            </w:r>
          </w:p>
        </w:tc>
      </w:tr>
      <w:tr>
        <w:tc>
          <w:tcPr>
            <w:tcW w:type="dxa" w:w="3000"/>
            <w:tcMar>
              <w:top w:type="dxa" w:w="70"/>
              <w:left w:type="dxa" w:w="100"/>
              <w:bottom w:type="dxa" w:w="70"/>
              <w:right w:type="dxa" w:w="100"/>
            </w:tcMar>
          </w:tcPr>
          <w:p>
            <w:r>
              <w:rPr>
                <w:b w:val="false"/>
                <w:bCs w:val="false"/>
                <w:color w:val="1A1A1A"/>
                <w:sz w:val="19"/>
                <w:szCs w:val="19"/>
              </w:rPr>
              <w:t xml:space="preserve">Delta</w:t>
            </w:r>
          </w:p>
        </w:tc>
        <w:tc>
          <w:tcPr>
            <w:tcW w:type="dxa" w:w="3000"/>
            <w:tcMar>
              <w:top w:type="dxa" w:w="70"/>
              <w:left w:type="dxa" w:w="100"/>
              <w:bottom w:type="dxa" w:w="70"/>
              <w:right w:type="dxa" w:w="100"/>
            </w:tcMar>
          </w:tcPr>
          <w:p>
            <w:r>
              <w:rPr>
                <w:b w:val="false"/>
                <w:bCs w:val="false"/>
                <w:color w:val="1A1A1A"/>
                <w:sz w:val="19"/>
                <w:szCs w:val="19"/>
              </w:rPr>
              <w:t xml:space="preserve">55</w:t>
            </w:r>
          </w:p>
        </w:tc>
      </w:tr>
      <w:tr>
        <w:tc>
          <w:tcPr>
            <w:tcW w:type="dxa" w:w="3000"/>
            <w:tcMar>
              <w:top w:type="dxa" w:w="70"/>
              <w:left w:type="dxa" w:w="100"/>
              <w:bottom w:type="dxa" w:w="70"/>
              <w:right w:type="dxa" w:w="100"/>
            </w:tcMar>
          </w:tcPr>
          <w:p>
            <w:r>
              <w:rPr>
                <w:b w:val="false"/>
                <w:bCs w:val="false"/>
                <w:color w:val="1A1A1A"/>
                <w:sz w:val="19"/>
                <w:szCs w:val="19"/>
              </w:rPr>
              <w:t xml:space="preserve">Theta</w:t>
            </w:r>
          </w:p>
        </w:tc>
        <w:tc>
          <w:tcPr>
            <w:tcW w:type="dxa" w:w="3000"/>
            <w:tcMar>
              <w:top w:type="dxa" w:w="70"/>
              <w:left w:type="dxa" w:w="100"/>
              <w:bottom w:type="dxa" w:w="70"/>
              <w:right w:type="dxa" w:w="100"/>
            </w:tcMar>
          </w:tcPr>
          <w:p>
            <w:r>
              <w:rPr>
                <w:b w:val="false"/>
                <w:bCs w:val="false"/>
                <w:color w:val="1A1A1A"/>
                <w:sz w:val="19"/>
                <w:szCs w:val="19"/>
              </w:rPr>
              <w:t xml:space="preserve">7</w:t>
            </w:r>
          </w:p>
        </w:tc>
      </w:tr>
      <w:tr>
        <w:tc>
          <w:tcPr>
            <w:tcW w:type="dxa" w:w="3000"/>
            <w:tcMar>
              <w:top w:type="dxa" w:w="70"/>
              <w:left w:type="dxa" w:w="100"/>
              <w:bottom w:type="dxa" w:w="70"/>
              <w:right w:type="dxa" w:w="100"/>
            </w:tcMar>
          </w:tcPr>
          <w:p>
            <w:r>
              <w:rPr>
                <w:b w:val="false"/>
                <w:bCs w:val="false"/>
                <w:color w:val="1A1A1A"/>
                <w:sz w:val="19"/>
                <w:szCs w:val="19"/>
              </w:rPr>
              <w:t xml:space="preserve">Alfa</w:t>
            </w:r>
          </w:p>
        </w:tc>
        <w:tc>
          <w:tcPr>
            <w:tcW w:type="dxa" w:w="3000"/>
            <w:tcMar>
              <w:top w:type="dxa" w:w="70"/>
              <w:left w:type="dxa" w:w="100"/>
              <w:bottom w:type="dxa" w:w="70"/>
              <w:right w:type="dxa" w:w="100"/>
            </w:tcMar>
          </w:tcPr>
          <w:p>
            <w:r>
              <w:rPr>
                <w:b w:val="false"/>
                <w:bCs w:val="false"/>
                <w:color w:val="1A1A1A"/>
                <w:sz w:val="19"/>
                <w:szCs w:val="19"/>
              </w:rPr>
              <w:t xml:space="preserve">3</w:t>
            </w:r>
          </w:p>
        </w:tc>
      </w:tr>
      <w:tr>
        <w:tc>
          <w:tcPr>
            <w:tcW w:type="dxa" w:w="3000"/>
            <w:tcMar>
              <w:top w:type="dxa" w:w="70"/>
              <w:left w:type="dxa" w:w="100"/>
              <w:bottom w:type="dxa" w:w="70"/>
              <w:right w:type="dxa" w:w="100"/>
            </w:tcMar>
          </w:tcPr>
          <w:p>
            <w:r>
              <w:rPr>
                <w:b w:val="false"/>
                <w:bCs w:val="false"/>
                <w:color w:val="1A1A1A"/>
                <w:sz w:val="19"/>
                <w:szCs w:val="19"/>
              </w:rPr>
              <w:t xml:space="preserve">Beta</w:t>
            </w:r>
          </w:p>
        </w:tc>
        <w:tc>
          <w:tcPr>
            <w:tcW w:type="dxa" w:w="3000"/>
            <w:tcMar>
              <w:top w:type="dxa" w:w="70"/>
              <w:left w:type="dxa" w:w="100"/>
              <w:bottom w:type="dxa" w:w="70"/>
              <w:right w:type="dxa" w:w="100"/>
            </w:tcMar>
          </w:tcPr>
          <w:p>
            <w:r>
              <w:rPr>
                <w:b w:val="false"/>
                <w:bCs w:val="false"/>
                <w:color w:val="1A1A1A"/>
                <w:sz w:val="19"/>
                <w:szCs w:val="19"/>
              </w:rPr>
              <w:t xml:space="preserve">89</w:t>
            </w:r>
          </w:p>
        </w:tc>
      </w:tr>
      <w:tr>
        <w:tc>
          <w:tcPr>
            <w:tcW w:type="dxa" w:w="3000"/>
            <w:tcMar>
              <w:top w:type="dxa" w:w="70"/>
              <w:left w:type="dxa" w:w="100"/>
              <w:bottom w:type="dxa" w:w="70"/>
              <w:right w:type="dxa" w:w="100"/>
            </w:tcMar>
          </w:tcPr>
          <w:p>
            <w:r>
              <w:rPr>
                <w:b w:val="false"/>
                <w:bCs w:val="false"/>
                <w:color w:val="1A1A1A"/>
                <w:sz w:val="19"/>
                <w:szCs w:val="19"/>
              </w:rPr>
              <w:t xml:space="preserve">Gama</w:t>
            </w:r>
          </w:p>
        </w:tc>
        <w:tc>
          <w:tcPr>
            <w:tcW w:type="dxa" w:w="3000"/>
            <w:tcMar>
              <w:top w:type="dxa" w:w="70"/>
              <w:left w:type="dxa" w:w="100"/>
              <w:bottom w:type="dxa" w:w="70"/>
              <w:right w:type="dxa" w:w="100"/>
            </w:tcMar>
          </w:tcPr>
          <w:p>
            <w:r>
              <w:rPr>
                <w:b w:val="false"/>
                <w:bCs w:val="false"/>
                <w:color w:val="1A1A1A"/>
                <w:sz w:val="19"/>
                <w:szCs w:val="19"/>
              </w:rPr>
              <w:t xml:space="preserve">0</w:t>
            </w:r>
          </w:p>
        </w:tc>
      </w:tr>
    </w:tbl>
    <w:p>
      <w:pPr>
        <w:pStyle w:val="Heading2"/>
        <w:spacing w:after="120" w:before="260"/>
      </w:pPr>
      <w:r>
        <w:rPr>
          <w:b/>
          <w:bCs/>
          <w:color w:val="243350"/>
          <w:sz w:val="24"/>
          <w:szCs w:val="24"/>
        </w:rPr>
        <w:t xml:space="preserve">Frontal Asimetri Endeksi (FAI)</w:t>
      </w:r>
    </w:p>
    <w:p>
      <w:pPr>
        <w:spacing w:after="80"/>
      </w:pPr>
      <w:r>
        <w:rPr>
          <w:sz w:val="21"/>
          <w:szCs w:val="21"/>
        </w:rPr>
        <w:t xml:space="preserve">+0.077 — ln(F4 alfa) − ln(F3 alfa)</w:t>
      </w:r>
    </w:p>
    <w:p>
      <w:pPr>
        <w:spacing w:after="200"/>
      </w:pPr>
      <w:r>
        <w:rPr>
          <w:i/>
          <w:iCs/>
          <w:color w:val="6B6B70"/>
          <w:sz w:val="18"/>
          <w:szCs w:val="18"/>
        </w:rPr>
        <w:t xml:space="preserve">Not: Reklam etkinliği araştırmalarında sol/sağ ön yarımküre aktivasyonuna dair bulgular karışıktır — bazı çalışmalar duygusal uyaranlarda sağ, rasyonel/sözel uyaranlarda sol yarımküre aktivasyonu bildirirken (Weinstein vd., 1984), bazıları bu ayrımı doğrulamamış (Rothschild vd., 1988), bazıları ise sol ön yarımkürede daha hızlı gelişen aktivasyonu daha iyi hatırlanma ile ilişkilendirmiştir (Rossiter ve Silberstein, 2001). Bu nedenle FAI değeri tek başına kesin bir duygu durumu iddiası olarak değil, literatürdeki bu karma bulgular ışığında temkinli yorumlanmalıdır (bkz. Utkutuğ ve Alkibay, 2013).</w:t>
      </w:r>
    </w:p>
    <w:p>
      <w:pPr>
        <w:pStyle w:val="Heading2"/>
        <w:spacing w:after="120" w:before="260"/>
      </w:pPr>
      <w:r>
        <w:rPr>
          <w:b/>
          <w:bCs/>
          <w:color w:val="243350"/>
          <w:sz w:val="24"/>
          <w:szCs w:val="24"/>
        </w:rPr>
        <w:t xml:space="preserve">Bölgesel Aktivite — Zaman Sırasıyla</w:t>
      </w:r>
    </w:p>
    <w:p>
      <w:pPr>
        <w:spacing w:after="100"/>
      </w:pPr>
      <w:r>
        <w:rPr>
          <w:i/>
          <w:iCs/>
          <w:color w:val="6B6B70"/>
          <w:sz w:val="17"/>
          <w:szCs w:val="17"/>
        </w:rPr>
        <w:t xml:space="preserve">Göz kırpma anlarına yakın veya kontak kalitesi düşük dönemler bu listeden çıkarılmıştır. Parantez içindeki işlev etiketleri Bağçı ve Bostan (2022)'ye dayanır.</w:t>
      </w:r>
    </w:p>
    <w:p>
      <w:r>
        <w:rPr>
          <w:sz w:val="21"/>
          <w:szCs w:val="21"/>
        </w:rPr>
        <w:t xml:space="preserve">Belirgin bir aktivite piki tespit edilmedi.</w:t>
      </w:r>
    </w:p>
    <w:p>
      <w:pPr>
        <w:pStyle w:val="Heading2"/>
        <w:spacing w:after="120" w:before="260"/>
      </w:pPr>
      <w:r>
        <w:rPr>
          <w:b/>
          <w:bCs/>
          <w:color w:val="243350"/>
          <w:sz w:val="24"/>
          <w:szCs w:val="24"/>
        </w:rPr>
        <w:t xml:space="preserve">Artefakt ve Göz Kırpma Notları</w:t>
      </w:r>
    </w:p>
    <w:p>
      <w:r>
        <w:rPr>
          <w:sz w:val="21"/>
          <w:szCs w:val="21"/>
        </w:rPr>
        <w:t xml:space="preserve">Göz kırpma/kırpıştırma olayı sayısı (yaklaşık — bant gücünden tahmin, ham EEG lisansı henüz aktif değil): 2</w:t>
      </w:r>
    </w:p>
    <w:p>
      <w:r>
        <w:rPr>
          <w:sz w:val="21"/>
          <w:szCs w:val="21"/>
        </w:rPr>
        <w:t xml:space="preserve">Düşük kontak kalitesi tespit edilen pencere sayısı: 1</w:t>
      </w:r>
    </w:p>
    <w:p>
      <w:r>
        <w:rPr>
          <w:sz w:val="21"/>
          <w:szCs w:val="21"/>
        </w:rPr>
        <w:t xml:space="preserve">Hareket artefaktı (kafa/el oynatma vb.) tespit edilen pencere sayısı: 3</w:t>
      </w:r>
    </w:p>
    <w:p>
      <w:r>
        <w:rPr>
          <w:sz w:val="21"/>
          <w:szCs w:val="21"/>
        </w:rPr>
        <w:t xml:space="preserve">Analiz dışı bırakılan zaman noktası sayısı: 55</w:t>
      </w:r>
    </w:p>
    <w:p>
      <w:pPr>
        <w:spacing w:after="200"/>
      </w:pPr>
      <w:r>
        <w:rPr>
          <w:i/>
          <w:iCs/>
          <w:color w:val="6B6B70"/>
          <w:sz w:val="18"/>
          <w:szCs w:val="18"/>
        </w:rPr>
        <w:t xml:space="preserve">Not: Göz kırpma anlarının ±1 saniye çevresi, kontak kalitesinin düşük olduğu zaman noktaları ve ivmeölçer verisinden tespit edilen ani hareket (jerk) anları, bölgesel aktivite tespitinden ve bant/FAI ortalamalarından tamamen çıkarılmıştır; bu raporda sunulan sonuçlar yalnızca artefaktsız kabul edilen verilere dayanır. "Şiddet (σ)" değeri, ilgili kanalın kendi oturum-içi ortalamasına göre kaç standart sapma yüksekte olduğunu gösterir.</w:t>
      </w:r>
    </w:p>
    <w:p>
      <w:pPr>
        <w:pStyle w:val="Heading2"/>
        <w:spacing w:after="120" w:before="260"/>
      </w:pPr>
      <w:r>
        <w:rPr>
          <w:b/>
          <w:bCs/>
          <w:color w:val="243350"/>
          <w:sz w:val="24"/>
          <w:szCs w:val="24"/>
        </w:rPr>
        <w:t xml:space="preserve">Kaynakça</w:t>
      </w:r>
    </w:p>
    <w:p>
      <w:pPr>
        <w:spacing w:after="80"/>
      </w:pPr>
      <w:r>
        <w:rPr>
          <w:sz w:val="19"/>
          <w:szCs w:val="19"/>
        </w:rPr>
        <w:t xml:space="preserve">Bağçı, E. ve Bostan, A. (2022). Nöropazarlama temalı turizm tanıtım filmleri analizi. Gazi Kitabevi.</w:t>
      </w:r>
    </w:p>
    <w:p>
      <w:pPr>
        <w:spacing w:after="80"/>
      </w:pPr>
      <w:r>
        <w:rPr>
          <w:sz w:val="19"/>
          <w:szCs w:val="19"/>
        </w:rPr>
        <w:t xml:space="preserve">Sands, F. S. (2009). Sample size analysis for brain collection (EEG) methodologies [White paper]. http://www.sandsresearch.com/assets/white-paper.pdf</w:t>
      </w:r>
    </w:p>
    <w:p>
      <w:pPr>
        <w:spacing w:after="80"/>
      </w:pPr>
      <w:r>
        <w:rPr>
          <w:sz w:val="19"/>
          <w:szCs w:val="19"/>
        </w:rPr>
        <w:t xml:space="preserve">Çiçek, M. (t.y.). EEG uygulama notları [Ders notu]. Ankara Üniversitesi.</w:t>
      </w:r>
    </w:p>
    <w:p>
      <w:pPr>
        <w:spacing w:after="80"/>
      </w:pPr>
      <w:r>
        <w:rPr>
          <w:sz w:val="19"/>
          <w:szCs w:val="19"/>
        </w:rPr>
        <w:t xml:space="preserve">Utkutuğ, Ç. P. ve Alkibay, S. (2013). Nöropazarlama: Reklam etkinliğinin psikofizyolojik tekniklerle değerlendirilmesi üzerine yapılmış araştırmalarının gözden geçirilmesi. Hacettepe Üniversitesi İktisadi ve İdari Bilimler Fakültesi Dergisi, 31(2), 167-195.</w:t>
      </w:r>
    </w:p>
    <w:p>
      <w:pPr>
        <w:spacing w:after="200"/>
      </w:pPr>
      <w:r>
        <w:rPr>
          <w:sz w:val="19"/>
          <w:szCs w:val="19"/>
        </w:rPr>
        <w:t xml:space="preserve">Bear, M. F., Connors, B. W. ve Paradiso, M. A. (2016). Neuroscience: Exploring the brain (4. bs.). Wolters Kluwer. (bkz. s.224, 363, 399, 415, 483, 692, 720-724, 823-828).</w:t>
      </w:r>
    </w:p>
    <w:p>
      <w:pPr>
        <w:spacing w:before="300"/>
      </w:pPr>
      <w:r>
        <w:rPr>
          <w:i/>
          <w:iCs/>
          <w:color w:val="6B6B70"/>
          <w:sz w:val="17"/>
          <w:szCs w:val="17"/>
        </w:rPr>
        <w:t xml:space="preserve">CerebrumX NeuroSuite ile otomatik oluşturulmuştur.</w:t>
      </w:r>
    </w:p>
    <w:sectPr>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2026-08-05T14:59:06.604Z</dcterms:created>
  <dcterms:modified xsi:type="dcterms:W3CDTF">2026-08-05T14:59:06.606Z</dcterms:modified>
</cp:coreProperties>
</file>

<file path=docProps/custom.xml><?xml version="1.0" encoding="utf-8"?>
<Properties xmlns="http://schemas.openxmlformats.org/officeDocument/2006/custom-properties" xmlns:vt="http://schemas.openxmlformats.org/officeDocument/2006/docPropsVTypes"/>
</file>